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380230" w14:paraId="0CAD485B" w14:textId="77777777" w:rsidTr="00380230">
        <w:tc>
          <w:tcPr>
            <w:tcW w:w="4253" w:type="dxa"/>
            <w:tcBorders>
              <w:right w:val="single" w:sz="4" w:space="0" w:color="auto"/>
            </w:tcBorders>
          </w:tcPr>
          <w:p w14:paraId="23498A5D" w14:textId="77777777" w:rsidR="00380230" w:rsidRDefault="00380230" w:rsidP="004C2C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787">
              <w:rPr>
                <w:noProof/>
                <w:lang w:eastAsia="fr-FR"/>
              </w:rPr>
              <w:drawing>
                <wp:inline distT="0" distB="0" distL="0" distR="0" wp14:anchorId="2FA78D34" wp14:editId="49E0D530">
                  <wp:extent cx="1919470" cy="1149006"/>
                  <wp:effectExtent l="0" t="0" r="5080" b="0"/>
                  <wp:docPr id="1" name="Image 1" descr="\\SRVNIEBAL\Michèle.gautheron$\Documents\LOGO NIEPCE-BALLEURE FUSIONNE-V0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NIEBAL\Michèle.gautheron$\Documents\LOGO NIEPCE-BALLEURE FUSIONNE-V0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24" cy="11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122" w14:textId="77777777" w:rsidR="00380230" w:rsidRDefault="00380230" w:rsidP="00380230">
            <w:pPr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1C2BCE7" w14:textId="77777777" w:rsidR="00380230" w:rsidRDefault="00380230" w:rsidP="00380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E1F266" w14:textId="009FB867" w:rsidR="0033351E" w:rsidRDefault="00380230" w:rsidP="00380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30">
              <w:rPr>
                <w:rFonts w:ascii="Arial" w:hAnsi="Arial" w:cs="Arial"/>
                <w:b/>
                <w:sz w:val="24"/>
                <w:szCs w:val="24"/>
              </w:rPr>
              <w:t xml:space="preserve">INDEMNITE </w:t>
            </w:r>
            <w:r w:rsidR="0033351E">
              <w:rPr>
                <w:rFonts w:ascii="Arial" w:hAnsi="Arial" w:cs="Arial"/>
                <w:b/>
                <w:sz w:val="24"/>
                <w:szCs w:val="24"/>
              </w:rPr>
              <w:t>DE FIN DE CONTRAT DANS LA FONCTION PUBLIQUE DITE INDEMNITE DE PRECARITE</w:t>
            </w:r>
          </w:p>
          <w:p w14:paraId="1CA7F540" w14:textId="77777777" w:rsidR="00380230" w:rsidRDefault="00380230" w:rsidP="00380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8504B" w14:textId="77777777" w:rsidR="00380230" w:rsidRDefault="00380230" w:rsidP="00380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D8F51" w14:textId="77777777" w:rsidR="00884614" w:rsidRPr="004C2CE4" w:rsidRDefault="00E2721C" w:rsidP="004C2CE4">
      <w:pPr>
        <w:jc w:val="both"/>
        <w:rPr>
          <w:rFonts w:ascii="Arial" w:hAnsi="Arial" w:cs="Arial"/>
          <w:sz w:val="20"/>
          <w:szCs w:val="20"/>
        </w:rPr>
      </w:pPr>
      <w:r w:rsidRPr="004C2CE4">
        <w:rPr>
          <w:rFonts w:ascii="Arial" w:hAnsi="Arial" w:cs="Arial"/>
          <w:sz w:val="20"/>
          <w:szCs w:val="20"/>
        </w:rPr>
        <w:t xml:space="preserve"> </w:t>
      </w:r>
    </w:p>
    <w:p w14:paraId="2472A984" w14:textId="77777777" w:rsidR="00E2721C" w:rsidRPr="003356C3" w:rsidRDefault="00E2721C" w:rsidP="004C2C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56C3">
        <w:rPr>
          <w:rFonts w:ascii="Arial" w:hAnsi="Arial" w:cs="Arial"/>
          <w:b/>
          <w:sz w:val="24"/>
          <w:szCs w:val="24"/>
          <w:u w:val="single"/>
        </w:rPr>
        <w:t>Textes</w:t>
      </w:r>
    </w:p>
    <w:p w14:paraId="45D8EBC9" w14:textId="21746382" w:rsidR="0033351E" w:rsidRPr="001F0DA0" w:rsidRDefault="001F0DA0" w:rsidP="007C1F1A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F0DA0">
        <w:rPr>
          <w:rFonts w:ascii="Arial" w:hAnsi="Arial" w:cs="Arial"/>
          <w:sz w:val="20"/>
          <w:szCs w:val="20"/>
        </w:rPr>
        <w:t>Articles L554-3 et L554-4 du code général de la fonction publique (livre V – Titre V – chapitre IV – section 2) ;</w:t>
      </w:r>
    </w:p>
    <w:p w14:paraId="76A9005C" w14:textId="4C2AD04B" w:rsidR="0033351E" w:rsidRPr="001F0DA0" w:rsidRDefault="0033351E" w:rsidP="007C1F1A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F0DA0">
        <w:rPr>
          <w:rFonts w:ascii="Arial" w:hAnsi="Arial" w:cs="Arial"/>
          <w:sz w:val="20"/>
          <w:szCs w:val="20"/>
        </w:rPr>
        <w:t>D</w:t>
      </w:r>
      <w:bookmarkStart w:id="0" w:name="_Hlk60862421"/>
      <w:r w:rsidRPr="001F0DA0">
        <w:rPr>
          <w:rFonts w:ascii="Arial" w:hAnsi="Arial" w:cs="Arial"/>
          <w:sz w:val="20"/>
          <w:szCs w:val="20"/>
        </w:rPr>
        <w:t>écret 86-83 du 17 janvier 1986 relatif aux agents contractuels de la f</w:t>
      </w:r>
      <w:r w:rsidR="007C1F1A" w:rsidRPr="001F0DA0">
        <w:rPr>
          <w:rFonts w:ascii="Arial" w:hAnsi="Arial" w:cs="Arial"/>
          <w:sz w:val="20"/>
          <w:szCs w:val="20"/>
        </w:rPr>
        <w:t>o</w:t>
      </w:r>
      <w:r w:rsidRPr="001F0DA0">
        <w:rPr>
          <w:rFonts w:ascii="Arial" w:hAnsi="Arial" w:cs="Arial"/>
          <w:sz w:val="20"/>
          <w:szCs w:val="20"/>
        </w:rPr>
        <w:t xml:space="preserve">nction publique d’Etat </w:t>
      </w:r>
      <w:bookmarkEnd w:id="0"/>
      <w:r w:rsidRPr="001F0DA0">
        <w:rPr>
          <w:rFonts w:ascii="Arial" w:hAnsi="Arial" w:cs="Arial"/>
          <w:sz w:val="20"/>
          <w:szCs w:val="20"/>
        </w:rPr>
        <w:t>(article 45-1</w:t>
      </w:r>
      <w:r w:rsidR="003076A2" w:rsidRPr="001F0DA0">
        <w:rPr>
          <w:rFonts w:ascii="Arial" w:hAnsi="Arial" w:cs="Arial"/>
          <w:sz w:val="20"/>
          <w:szCs w:val="20"/>
        </w:rPr>
        <w:t>-1</w:t>
      </w:r>
      <w:r w:rsidRPr="001F0DA0">
        <w:rPr>
          <w:rFonts w:ascii="Arial" w:hAnsi="Arial" w:cs="Arial"/>
          <w:sz w:val="20"/>
          <w:szCs w:val="20"/>
        </w:rPr>
        <w:t>)</w:t>
      </w:r>
      <w:r w:rsidR="001F0DA0" w:rsidRPr="001F0DA0">
        <w:rPr>
          <w:rFonts w:ascii="Arial" w:hAnsi="Arial" w:cs="Arial"/>
          <w:sz w:val="20"/>
          <w:szCs w:val="20"/>
        </w:rPr>
        <w:t> ;</w:t>
      </w:r>
    </w:p>
    <w:p w14:paraId="08FC1D18" w14:textId="2185AF41" w:rsidR="0033351E" w:rsidRPr="001F0DA0" w:rsidRDefault="0033351E" w:rsidP="007C1F1A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bookmarkStart w:id="1" w:name="_Hlk60862448"/>
      <w:r w:rsidRPr="001F0DA0">
        <w:rPr>
          <w:rFonts w:ascii="Arial" w:hAnsi="Arial" w:cs="Arial"/>
          <w:sz w:val="20"/>
          <w:szCs w:val="20"/>
        </w:rPr>
        <w:t>Décret 2020-1296 du 23 octobre 2020 relatif à l’indemnité de fin de contrat dans la fonction publique</w:t>
      </w:r>
      <w:r w:rsidR="001F0DA0" w:rsidRPr="001F0DA0">
        <w:rPr>
          <w:rFonts w:ascii="Arial" w:hAnsi="Arial" w:cs="Arial"/>
          <w:sz w:val="20"/>
          <w:szCs w:val="20"/>
        </w:rPr>
        <w:t>.</w:t>
      </w:r>
    </w:p>
    <w:bookmarkEnd w:id="1"/>
    <w:p w14:paraId="642C8199" w14:textId="77777777" w:rsidR="007D21F9" w:rsidRDefault="007D21F9" w:rsidP="004C2CE4">
      <w:pPr>
        <w:jc w:val="both"/>
        <w:rPr>
          <w:rFonts w:ascii="Arial" w:hAnsi="Arial" w:cs="Arial"/>
          <w:sz w:val="20"/>
          <w:szCs w:val="20"/>
        </w:rPr>
      </w:pPr>
    </w:p>
    <w:p w14:paraId="63CD501F" w14:textId="2648C599" w:rsidR="00727830" w:rsidRDefault="00727830" w:rsidP="004C2C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Conditions  </w:t>
      </w:r>
    </w:p>
    <w:p w14:paraId="36D4E0AB" w14:textId="59E01DEB" w:rsidR="00183110" w:rsidRDefault="00230188" w:rsidP="004C2C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Cette indemnité ne concerne que les contrats conclus à partir du 1</w:t>
      </w:r>
      <w:r w:rsidRPr="00230188">
        <w:rPr>
          <w:rFonts w:ascii="Arial" w:hAnsi="Arial" w:cs="Arial"/>
          <w:bCs/>
          <w:sz w:val="20"/>
          <w:szCs w:val="20"/>
          <w:vertAlign w:val="superscript"/>
        </w:rPr>
        <w:t>er</w:t>
      </w:r>
      <w:r>
        <w:rPr>
          <w:rFonts w:ascii="Arial" w:hAnsi="Arial" w:cs="Arial"/>
          <w:bCs/>
          <w:sz w:val="20"/>
          <w:szCs w:val="20"/>
        </w:rPr>
        <w:t xml:space="preserve"> janvier 2021. </w:t>
      </w:r>
      <w:r w:rsidR="00727830">
        <w:rPr>
          <w:rFonts w:ascii="Arial" w:hAnsi="Arial" w:cs="Arial"/>
          <w:bCs/>
          <w:sz w:val="20"/>
          <w:szCs w:val="20"/>
        </w:rPr>
        <w:t xml:space="preserve">Seuls peuvent </w:t>
      </w:r>
      <w:r>
        <w:rPr>
          <w:rFonts w:ascii="Arial" w:hAnsi="Arial" w:cs="Arial"/>
          <w:bCs/>
          <w:sz w:val="20"/>
          <w:szCs w:val="20"/>
        </w:rPr>
        <w:t xml:space="preserve">en </w:t>
      </w:r>
      <w:r w:rsidR="00727830">
        <w:rPr>
          <w:rFonts w:ascii="Arial" w:hAnsi="Arial" w:cs="Arial"/>
          <w:bCs/>
          <w:sz w:val="20"/>
          <w:szCs w:val="20"/>
        </w:rPr>
        <w:t>bénéficier, les salariés en CDD</w:t>
      </w:r>
      <w:r>
        <w:rPr>
          <w:rFonts w:ascii="Arial" w:hAnsi="Arial" w:cs="Arial"/>
          <w:bCs/>
          <w:sz w:val="20"/>
          <w:szCs w:val="20"/>
        </w:rPr>
        <w:t xml:space="preserve"> :  </w:t>
      </w:r>
    </w:p>
    <w:p w14:paraId="30964695" w14:textId="25F23C86" w:rsidR="00183110" w:rsidRDefault="00183110" w:rsidP="007C1F1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dont </w:t>
      </w:r>
      <w:r w:rsidR="00727830" w:rsidRPr="00183110">
        <w:rPr>
          <w:rFonts w:ascii="Arial" w:hAnsi="Arial" w:cs="Arial"/>
          <w:bCs/>
          <w:sz w:val="20"/>
          <w:szCs w:val="20"/>
        </w:rPr>
        <w:t>la durée totale d</w:t>
      </w:r>
      <w:r w:rsidR="00003F4A">
        <w:rPr>
          <w:rFonts w:ascii="Arial" w:hAnsi="Arial" w:cs="Arial"/>
          <w:bCs/>
          <w:sz w:val="20"/>
          <w:szCs w:val="20"/>
        </w:rPr>
        <w:t>u</w:t>
      </w:r>
      <w:r w:rsidR="00727830" w:rsidRPr="00183110">
        <w:rPr>
          <w:rFonts w:ascii="Arial" w:hAnsi="Arial" w:cs="Arial"/>
          <w:bCs/>
          <w:sz w:val="20"/>
          <w:szCs w:val="20"/>
        </w:rPr>
        <w:t xml:space="preserve"> contrat, renouvellements compris</w:t>
      </w:r>
      <w:r>
        <w:rPr>
          <w:rFonts w:ascii="Arial" w:hAnsi="Arial" w:cs="Arial"/>
          <w:bCs/>
          <w:sz w:val="20"/>
          <w:szCs w:val="20"/>
        </w:rPr>
        <w:t>,</w:t>
      </w:r>
      <w:r w:rsidR="00727830" w:rsidRPr="0018311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est </w:t>
      </w:r>
      <w:r w:rsidRPr="00183110">
        <w:rPr>
          <w:rFonts w:ascii="Arial" w:hAnsi="Arial" w:cs="Arial"/>
          <w:bCs/>
          <w:sz w:val="20"/>
          <w:szCs w:val="20"/>
        </w:rPr>
        <w:t>i</w:t>
      </w:r>
      <w:r w:rsidR="00727830" w:rsidRPr="00183110">
        <w:rPr>
          <w:rFonts w:ascii="Arial" w:hAnsi="Arial" w:cs="Arial"/>
          <w:bCs/>
          <w:sz w:val="20"/>
          <w:szCs w:val="20"/>
        </w:rPr>
        <w:t>nférieur</w:t>
      </w:r>
      <w:r>
        <w:rPr>
          <w:rFonts w:ascii="Arial" w:hAnsi="Arial" w:cs="Arial"/>
          <w:bCs/>
          <w:sz w:val="20"/>
          <w:szCs w:val="20"/>
        </w:rPr>
        <w:t>e</w:t>
      </w:r>
      <w:r w:rsidR="00727830" w:rsidRPr="00183110">
        <w:rPr>
          <w:rFonts w:ascii="Arial" w:hAnsi="Arial" w:cs="Arial"/>
          <w:bCs/>
          <w:sz w:val="20"/>
          <w:szCs w:val="20"/>
        </w:rPr>
        <w:t xml:space="preserve"> </w:t>
      </w:r>
      <w:r w:rsidR="005D1578">
        <w:rPr>
          <w:rFonts w:ascii="Arial" w:hAnsi="Arial" w:cs="Arial"/>
          <w:bCs/>
          <w:sz w:val="20"/>
          <w:szCs w:val="20"/>
        </w:rPr>
        <w:t xml:space="preserve">ou égale </w:t>
      </w:r>
      <w:r w:rsidR="00727830" w:rsidRPr="00183110">
        <w:rPr>
          <w:rFonts w:ascii="Arial" w:hAnsi="Arial" w:cs="Arial"/>
          <w:bCs/>
          <w:sz w:val="20"/>
          <w:szCs w:val="20"/>
        </w:rPr>
        <w:t xml:space="preserve">à 1 an </w:t>
      </w:r>
    </w:p>
    <w:p w14:paraId="6476E465" w14:textId="2579871A" w:rsidR="00727830" w:rsidRDefault="00727830" w:rsidP="007C1F1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183110">
        <w:rPr>
          <w:rFonts w:ascii="Arial" w:hAnsi="Arial" w:cs="Arial"/>
          <w:bCs/>
          <w:sz w:val="20"/>
          <w:szCs w:val="20"/>
        </w:rPr>
        <w:t>qui ont mené leur engagement à son terme (ce qui exclu</w:t>
      </w:r>
      <w:r w:rsidR="008F1B38">
        <w:rPr>
          <w:rFonts w:ascii="Arial" w:hAnsi="Arial" w:cs="Arial"/>
          <w:bCs/>
          <w:sz w:val="20"/>
          <w:szCs w:val="20"/>
        </w:rPr>
        <w:t>t</w:t>
      </w:r>
      <w:r w:rsidRPr="00183110">
        <w:rPr>
          <w:rFonts w:ascii="Arial" w:hAnsi="Arial" w:cs="Arial"/>
          <w:bCs/>
          <w:sz w:val="20"/>
          <w:szCs w:val="20"/>
        </w:rPr>
        <w:t xml:space="preserve"> les démission</w:t>
      </w:r>
      <w:r w:rsidR="00107EA6">
        <w:rPr>
          <w:rFonts w:ascii="Arial" w:hAnsi="Arial" w:cs="Arial"/>
          <w:bCs/>
          <w:sz w:val="20"/>
          <w:szCs w:val="20"/>
        </w:rPr>
        <w:t>s</w:t>
      </w:r>
      <w:r w:rsidRPr="00183110">
        <w:rPr>
          <w:rFonts w:ascii="Arial" w:hAnsi="Arial" w:cs="Arial"/>
          <w:bCs/>
          <w:sz w:val="20"/>
          <w:szCs w:val="20"/>
        </w:rPr>
        <w:t>, les licencie</w:t>
      </w:r>
      <w:r w:rsidR="00183110" w:rsidRPr="00183110">
        <w:rPr>
          <w:rFonts w:ascii="Arial" w:hAnsi="Arial" w:cs="Arial"/>
          <w:bCs/>
          <w:sz w:val="20"/>
          <w:szCs w:val="20"/>
        </w:rPr>
        <w:t>m</w:t>
      </w:r>
      <w:r w:rsidRPr="00183110">
        <w:rPr>
          <w:rFonts w:ascii="Arial" w:hAnsi="Arial" w:cs="Arial"/>
          <w:bCs/>
          <w:sz w:val="20"/>
          <w:szCs w:val="20"/>
        </w:rPr>
        <w:t>e</w:t>
      </w:r>
      <w:r w:rsidR="00183110" w:rsidRPr="00183110">
        <w:rPr>
          <w:rFonts w:ascii="Arial" w:hAnsi="Arial" w:cs="Arial"/>
          <w:bCs/>
          <w:sz w:val="20"/>
          <w:szCs w:val="20"/>
        </w:rPr>
        <w:t>n</w:t>
      </w:r>
      <w:r w:rsidRPr="00183110">
        <w:rPr>
          <w:rFonts w:ascii="Arial" w:hAnsi="Arial" w:cs="Arial"/>
          <w:bCs/>
          <w:sz w:val="20"/>
          <w:szCs w:val="20"/>
        </w:rPr>
        <w:t>ts, les fin</w:t>
      </w:r>
      <w:r w:rsidR="00183110" w:rsidRPr="00183110">
        <w:rPr>
          <w:rFonts w:ascii="Arial" w:hAnsi="Arial" w:cs="Arial"/>
          <w:bCs/>
          <w:sz w:val="20"/>
          <w:szCs w:val="20"/>
        </w:rPr>
        <w:t xml:space="preserve">s </w:t>
      </w:r>
      <w:r w:rsidRPr="00183110">
        <w:rPr>
          <w:rFonts w:ascii="Arial" w:hAnsi="Arial" w:cs="Arial"/>
          <w:bCs/>
          <w:sz w:val="20"/>
          <w:szCs w:val="20"/>
        </w:rPr>
        <w:t>d</w:t>
      </w:r>
      <w:r w:rsidR="00183110" w:rsidRPr="00183110">
        <w:rPr>
          <w:rFonts w:ascii="Arial" w:hAnsi="Arial" w:cs="Arial"/>
          <w:bCs/>
          <w:sz w:val="20"/>
          <w:szCs w:val="20"/>
        </w:rPr>
        <w:t>e</w:t>
      </w:r>
      <w:r w:rsidRPr="00183110">
        <w:rPr>
          <w:rFonts w:ascii="Arial" w:hAnsi="Arial" w:cs="Arial"/>
          <w:bCs/>
          <w:sz w:val="20"/>
          <w:szCs w:val="20"/>
        </w:rPr>
        <w:t xml:space="preserve"> contrat pour non renouvell</w:t>
      </w:r>
      <w:r w:rsidR="00183110" w:rsidRPr="00183110">
        <w:rPr>
          <w:rFonts w:ascii="Arial" w:hAnsi="Arial" w:cs="Arial"/>
          <w:bCs/>
          <w:sz w:val="20"/>
          <w:szCs w:val="20"/>
        </w:rPr>
        <w:t>e</w:t>
      </w:r>
      <w:r w:rsidRPr="00183110">
        <w:rPr>
          <w:rFonts w:ascii="Arial" w:hAnsi="Arial" w:cs="Arial"/>
          <w:bCs/>
          <w:sz w:val="20"/>
          <w:szCs w:val="20"/>
        </w:rPr>
        <w:t>ment d’un titre de séjour</w:t>
      </w:r>
      <w:r w:rsidR="00183110">
        <w:rPr>
          <w:rFonts w:ascii="Arial" w:hAnsi="Arial" w:cs="Arial"/>
          <w:bCs/>
          <w:sz w:val="20"/>
          <w:szCs w:val="20"/>
        </w:rPr>
        <w:t xml:space="preserve"> etc</w:t>
      </w:r>
      <w:r w:rsidR="00183110" w:rsidRPr="00183110">
        <w:rPr>
          <w:rFonts w:ascii="Arial" w:hAnsi="Arial" w:cs="Arial"/>
          <w:bCs/>
          <w:sz w:val="20"/>
          <w:szCs w:val="20"/>
        </w:rPr>
        <w:t>…</w:t>
      </w:r>
      <w:r w:rsidRPr="00183110">
        <w:rPr>
          <w:rFonts w:ascii="Arial" w:hAnsi="Arial" w:cs="Arial"/>
          <w:bCs/>
          <w:sz w:val="20"/>
          <w:szCs w:val="20"/>
        </w:rPr>
        <w:t>)</w:t>
      </w:r>
    </w:p>
    <w:p w14:paraId="23DE306A" w14:textId="1BFFBE2F" w:rsidR="000D12A5" w:rsidRDefault="007C1F1A" w:rsidP="000D12A5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qui n</w:t>
      </w:r>
      <w:r w:rsidR="000D12A5">
        <w:rPr>
          <w:rFonts w:ascii="Arial" w:hAnsi="Arial" w:cs="Arial"/>
          <w:bCs/>
          <w:sz w:val="20"/>
          <w:szCs w:val="20"/>
        </w:rPr>
        <w:t xml:space="preserve">’ont pas conclu immédiatement de nouveau contrat auprès </w:t>
      </w:r>
      <w:r w:rsidR="00C13DC7">
        <w:rPr>
          <w:rFonts w:ascii="Arial" w:hAnsi="Arial" w:cs="Arial"/>
          <w:bCs/>
          <w:sz w:val="20"/>
          <w:szCs w:val="20"/>
        </w:rPr>
        <w:t>de la même fonction publique</w:t>
      </w:r>
      <w:r w:rsidR="00003F4A">
        <w:rPr>
          <w:rFonts w:ascii="Arial" w:hAnsi="Arial" w:cs="Arial"/>
          <w:bCs/>
          <w:sz w:val="20"/>
          <w:szCs w:val="20"/>
        </w:rPr>
        <w:t xml:space="preserve"> qu</w:t>
      </w:r>
      <w:r w:rsidR="000D12A5">
        <w:rPr>
          <w:rFonts w:ascii="Arial" w:hAnsi="Arial" w:cs="Arial"/>
          <w:bCs/>
          <w:sz w:val="20"/>
          <w:szCs w:val="20"/>
        </w:rPr>
        <w:t>elle que soit la forme de cet engagement</w:t>
      </w:r>
    </w:p>
    <w:p w14:paraId="753C389A" w14:textId="52B4F485" w:rsidR="005D1578" w:rsidRDefault="000D12A5" w:rsidP="007C1F1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qui n’ont pas </w:t>
      </w:r>
      <w:r w:rsidR="005D1578">
        <w:rPr>
          <w:rFonts w:ascii="Arial" w:hAnsi="Arial" w:cs="Arial"/>
          <w:bCs/>
          <w:sz w:val="20"/>
          <w:szCs w:val="20"/>
        </w:rPr>
        <w:t xml:space="preserve">refusé </w:t>
      </w:r>
      <w:bookmarkStart w:id="2" w:name="_Hlk60862791"/>
      <w:r w:rsidR="005D1578">
        <w:rPr>
          <w:rFonts w:ascii="Arial" w:hAnsi="Arial" w:cs="Arial"/>
          <w:bCs/>
          <w:sz w:val="20"/>
          <w:szCs w:val="20"/>
        </w:rPr>
        <w:t>la conclusion d’</w:t>
      </w:r>
      <w:r>
        <w:rPr>
          <w:rFonts w:ascii="Arial" w:hAnsi="Arial" w:cs="Arial"/>
          <w:bCs/>
          <w:sz w:val="20"/>
          <w:szCs w:val="20"/>
        </w:rPr>
        <w:t>un</w:t>
      </w:r>
      <w:r w:rsidR="005D1578">
        <w:rPr>
          <w:rFonts w:ascii="Arial" w:hAnsi="Arial" w:cs="Arial"/>
          <w:bCs/>
          <w:sz w:val="20"/>
          <w:szCs w:val="20"/>
        </w:rPr>
        <w:t xml:space="preserve"> contrat </w:t>
      </w:r>
      <w:r>
        <w:rPr>
          <w:rFonts w:ascii="Arial" w:hAnsi="Arial" w:cs="Arial"/>
          <w:bCs/>
          <w:sz w:val="20"/>
          <w:szCs w:val="20"/>
        </w:rPr>
        <w:t xml:space="preserve">à durée indéterminé </w:t>
      </w:r>
      <w:r w:rsidR="005D1578">
        <w:rPr>
          <w:rFonts w:ascii="Arial" w:hAnsi="Arial" w:cs="Arial"/>
          <w:bCs/>
          <w:sz w:val="20"/>
          <w:szCs w:val="20"/>
        </w:rPr>
        <w:t xml:space="preserve">pour occuper le même emploi ou un emploi similaire auprès </w:t>
      </w:r>
      <w:r w:rsidR="00C13DC7">
        <w:rPr>
          <w:rFonts w:ascii="Arial" w:hAnsi="Arial" w:cs="Arial"/>
          <w:bCs/>
          <w:sz w:val="20"/>
          <w:szCs w:val="20"/>
        </w:rPr>
        <w:t>de la même fonction publique</w:t>
      </w:r>
      <w:r w:rsidR="005D1578">
        <w:rPr>
          <w:rFonts w:ascii="Arial" w:hAnsi="Arial" w:cs="Arial"/>
          <w:bCs/>
          <w:sz w:val="20"/>
          <w:szCs w:val="20"/>
        </w:rPr>
        <w:t xml:space="preserve"> assorti d’une rémunération au moins équivalente</w:t>
      </w:r>
    </w:p>
    <w:p w14:paraId="771E3AB7" w14:textId="71AD8438" w:rsidR="000D12A5" w:rsidRPr="000D12A5" w:rsidRDefault="000D12A5" w:rsidP="000D12A5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 d’interruption entre les contrats, l’indemnité de fin de contrat est versée à la fin de chaque contrat.</w:t>
      </w:r>
    </w:p>
    <w:bookmarkEnd w:id="2"/>
    <w:p w14:paraId="7EB059DC" w14:textId="0B3A8E7D" w:rsidR="00183110" w:rsidRDefault="00183110" w:rsidP="004C2C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indemnité ne concerne </w:t>
      </w:r>
      <w:r w:rsidR="00230188">
        <w:rPr>
          <w:rFonts w:ascii="Arial" w:hAnsi="Arial" w:cs="Arial"/>
          <w:sz w:val="20"/>
          <w:szCs w:val="20"/>
        </w:rPr>
        <w:t xml:space="preserve">donc </w:t>
      </w:r>
      <w:r w:rsidR="001F0DA0">
        <w:rPr>
          <w:rFonts w:ascii="Arial" w:hAnsi="Arial" w:cs="Arial"/>
          <w:sz w:val="20"/>
          <w:szCs w:val="20"/>
        </w:rPr>
        <w:t>que certains contrats d’AED</w:t>
      </w:r>
      <w:proofErr w:type="gramStart"/>
      <w:r w:rsidR="00003F4A">
        <w:rPr>
          <w:rFonts w:ascii="Arial" w:hAnsi="Arial" w:cs="Arial"/>
          <w:sz w:val="20"/>
          <w:szCs w:val="20"/>
        </w:rPr>
        <w:t>.</w:t>
      </w:r>
      <w:r w:rsidR="001F0DA0">
        <w:rPr>
          <w:rFonts w:ascii="Arial" w:hAnsi="Arial" w:cs="Arial"/>
          <w:sz w:val="20"/>
          <w:szCs w:val="20"/>
        </w:rPr>
        <w:t>.</w:t>
      </w:r>
      <w:proofErr w:type="gramEnd"/>
    </w:p>
    <w:p w14:paraId="5F4072F5" w14:textId="77777777" w:rsidR="003356C3" w:rsidRPr="004C2CE4" w:rsidRDefault="003356C3" w:rsidP="004C2CE4">
      <w:pPr>
        <w:jc w:val="both"/>
        <w:rPr>
          <w:rFonts w:ascii="Arial" w:hAnsi="Arial" w:cs="Arial"/>
          <w:sz w:val="20"/>
          <w:szCs w:val="20"/>
        </w:rPr>
      </w:pPr>
    </w:p>
    <w:p w14:paraId="06663937" w14:textId="0D8BDAE3" w:rsidR="00183110" w:rsidRDefault="00CB1A89" w:rsidP="004C2CE4">
      <w:pPr>
        <w:jc w:val="both"/>
        <w:rPr>
          <w:rFonts w:ascii="Arial" w:hAnsi="Arial" w:cs="Arial"/>
          <w:sz w:val="20"/>
          <w:szCs w:val="20"/>
        </w:rPr>
      </w:pPr>
      <w:r w:rsidRPr="003356C3">
        <w:rPr>
          <w:rFonts w:ascii="Arial" w:hAnsi="Arial" w:cs="Arial"/>
          <w:b/>
          <w:sz w:val="24"/>
          <w:szCs w:val="24"/>
          <w:u w:val="single"/>
        </w:rPr>
        <w:t>Montant de l’indemnité</w:t>
      </w:r>
      <w:r w:rsidR="00183110">
        <w:rPr>
          <w:rFonts w:ascii="Arial" w:hAnsi="Arial" w:cs="Arial"/>
          <w:sz w:val="20"/>
          <w:szCs w:val="20"/>
        </w:rPr>
        <w:t> : cette indemnité est égale à 10 % du montant de la rémunération brute globale perçue par l’agent pendant la durée de son contrat, renouvellement inclus.</w:t>
      </w:r>
      <w:r w:rsidR="000D12A5">
        <w:rPr>
          <w:rFonts w:ascii="Arial" w:hAnsi="Arial" w:cs="Arial"/>
          <w:sz w:val="20"/>
          <w:szCs w:val="20"/>
        </w:rPr>
        <w:t xml:space="preserve"> La rémunération brute globale intègre le SFT et l’ICCSG.</w:t>
      </w:r>
      <w:r w:rsidR="00B4572E">
        <w:rPr>
          <w:rFonts w:ascii="Arial" w:hAnsi="Arial" w:cs="Arial"/>
          <w:sz w:val="20"/>
          <w:szCs w:val="20"/>
        </w:rPr>
        <w:t xml:space="preserve"> </w:t>
      </w:r>
      <w:r w:rsidR="00C66878">
        <w:rPr>
          <w:rFonts w:ascii="Arial" w:hAnsi="Arial" w:cs="Arial"/>
          <w:sz w:val="20"/>
          <w:szCs w:val="20"/>
        </w:rPr>
        <w:t xml:space="preserve">Le remboursement partiel des cotisations mutuelles ne fait pas partie de la rémunération brute globale, il doit donc être déduit du montant servant pour le calcul de l’indemnité. </w:t>
      </w:r>
    </w:p>
    <w:p w14:paraId="21A8966D" w14:textId="188275D5" w:rsidR="00183110" w:rsidRDefault="00183110" w:rsidP="004C2C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L’indemnité est versée au plus tard 1 mois après la fin du contrat.</w:t>
      </w:r>
    </w:p>
    <w:p w14:paraId="51E8A544" w14:textId="77777777" w:rsidR="005D1578" w:rsidRDefault="003356C3" w:rsidP="004C2CE4">
      <w:pPr>
        <w:jc w:val="both"/>
        <w:rPr>
          <w:rFonts w:ascii="Arial" w:hAnsi="Arial" w:cs="Arial"/>
          <w:sz w:val="20"/>
          <w:szCs w:val="20"/>
        </w:rPr>
      </w:pPr>
      <w:r w:rsidRPr="00724C19">
        <w:rPr>
          <w:rFonts w:ascii="Arial" w:hAnsi="Arial" w:cs="Arial"/>
          <w:sz w:val="20"/>
          <w:szCs w:val="20"/>
        </w:rPr>
        <w:t>C</w:t>
      </w:r>
      <w:r w:rsidR="00CB1A89" w:rsidRPr="00724C19">
        <w:rPr>
          <w:rFonts w:ascii="Arial" w:hAnsi="Arial" w:cs="Arial"/>
          <w:sz w:val="20"/>
          <w:szCs w:val="20"/>
        </w:rPr>
        <w:t>otisations</w:t>
      </w:r>
      <w:r w:rsidR="00724C19">
        <w:rPr>
          <w:rFonts w:ascii="Arial" w:hAnsi="Arial" w:cs="Arial"/>
          <w:sz w:val="20"/>
          <w:szCs w:val="20"/>
        </w:rPr>
        <w:t xml:space="preserve"> : </w:t>
      </w:r>
      <w:r w:rsidR="005D1578">
        <w:rPr>
          <w:rFonts w:ascii="Arial" w:hAnsi="Arial" w:cs="Arial"/>
          <w:sz w:val="20"/>
          <w:szCs w:val="20"/>
        </w:rPr>
        <w:t>l’indemnité est considérée comme un complément de rémunération et est donc soumise aux mêmes cotisations que le traitement principal.</w:t>
      </w:r>
    </w:p>
    <w:p w14:paraId="35D03A63" w14:textId="77777777" w:rsidR="00230188" w:rsidRDefault="00230188" w:rsidP="004C2CE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986A34" w14:textId="7BB52ABB" w:rsidR="004C2CE4" w:rsidRPr="003356C3" w:rsidRDefault="004C2CE4" w:rsidP="004C2CE4">
      <w:pPr>
        <w:jc w:val="both"/>
        <w:rPr>
          <w:rFonts w:ascii="Arial" w:hAnsi="Arial" w:cs="Arial"/>
          <w:sz w:val="20"/>
          <w:szCs w:val="20"/>
        </w:rPr>
      </w:pPr>
      <w:r w:rsidRPr="003356C3">
        <w:rPr>
          <w:rFonts w:ascii="Arial" w:hAnsi="Arial" w:cs="Arial"/>
          <w:b/>
          <w:sz w:val="24"/>
          <w:szCs w:val="24"/>
          <w:u w:val="single"/>
        </w:rPr>
        <w:t xml:space="preserve">Document à transmettre au service </w:t>
      </w:r>
      <w:proofErr w:type="spellStart"/>
      <w:r w:rsidRPr="003356C3">
        <w:rPr>
          <w:rFonts w:ascii="Arial" w:hAnsi="Arial" w:cs="Arial"/>
          <w:b/>
          <w:sz w:val="24"/>
          <w:szCs w:val="24"/>
          <w:u w:val="single"/>
        </w:rPr>
        <w:t>mutualisateur</w:t>
      </w:r>
      <w:proofErr w:type="spellEnd"/>
      <w:r w:rsidRPr="003356C3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7C1F1A">
        <w:rPr>
          <w:rFonts w:ascii="Arial" w:hAnsi="Arial" w:cs="Arial"/>
          <w:b/>
          <w:sz w:val="24"/>
          <w:szCs w:val="24"/>
          <w:u w:val="single"/>
        </w:rPr>
        <w:t>ès la fin du contrat</w:t>
      </w:r>
    </w:p>
    <w:p w14:paraId="1D261E09" w14:textId="77777777" w:rsidR="00380230" w:rsidRPr="00380230" w:rsidRDefault="00380230" w:rsidP="00380230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81E5617" w14:textId="5908B1D3" w:rsidR="00230188" w:rsidRDefault="004C2CE4" w:rsidP="0038023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80230">
        <w:rPr>
          <w:rFonts w:ascii="Arial" w:hAnsi="Arial" w:cs="Arial"/>
          <w:sz w:val="20"/>
          <w:szCs w:val="20"/>
        </w:rPr>
        <w:t>Un</w:t>
      </w:r>
      <w:r w:rsidR="00230188">
        <w:rPr>
          <w:rFonts w:ascii="Arial" w:hAnsi="Arial" w:cs="Arial"/>
          <w:sz w:val="20"/>
          <w:szCs w:val="20"/>
        </w:rPr>
        <w:t>e décision d’attribution signée par l’employeur</w:t>
      </w:r>
      <w:r w:rsidR="00003F4A">
        <w:rPr>
          <w:rFonts w:ascii="Arial" w:hAnsi="Arial" w:cs="Arial"/>
          <w:sz w:val="20"/>
          <w:szCs w:val="20"/>
        </w:rPr>
        <w:t>,</w:t>
      </w:r>
      <w:r w:rsidR="00230188">
        <w:rPr>
          <w:rFonts w:ascii="Arial" w:hAnsi="Arial" w:cs="Arial"/>
          <w:sz w:val="20"/>
          <w:szCs w:val="20"/>
        </w:rPr>
        <w:t xml:space="preserve"> </w:t>
      </w:r>
      <w:r w:rsidR="00003F4A">
        <w:rPr>
          <w:rFonts w:ascii="Arial" w:hAnsi="Arial" w:cs="Arial"/>
          <w:sz w:val="20"/>
          <w:szCs w:val="20"/>
        </w:rPr>
        <w:t>pré-remplie par le service</w:t>
      </w:r>
      <w:bookmarkStart w:id="3" w:name="_GoBack"/>
      <w:bookmarkEnd w:id="3"/>
      <w:r w:rsidR="00003F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</w:rPr>
        <w:t>mutualisateur</w:t>
      </w:r>
      <w:proofErr w:type="spellEnd"/>
      <w:r w:rsidR="007C1F1A">
        <w:rPr>
          <w:rFonts w:ascii="Arial" w:hAnsi="Arial" w:cs="Arial"/>
          <w:sz w:val="20"/>
          <w:szCs w:val="20"/>
        </w:rPr>
        <w:t>.</w:t>
      </w:r>
    </w:p>
    <w:sectPr w:rsidR="00230188" w:rsidSect="001217E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B10B" w14:textId="77777777" w:rsidR="0010766D" w:rsidRDefault="0010766D" w:rsidP="001217E8">
      <w:pPr>
        <w:spacing w:after="0" w:line="240" w:lineRule="auto"/>
      </w:pPr>
      <w:r>
        <w:separator/>
      </w:r>
    </w:p>
  </w:endnote>
  <w:endnote w:type="continuationSeparator" w:id="0">
    <w:p w14:paraId="3C7E5BB8" w14:textId="77777777" w:rsidR="0010766D" w:rsidRDefault="0010766D" w:rsidP="0012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E9DEF" w14:textId="77777777" w:rsidR="001217E8" w:rsidRDefault="001217E8" w:rsidP="001217E8">
    <w:pPr>
      <w:pStyle w:val="Pieddepage"/>
      <w:jc w:val="right"/>
      <w:rPr>
        <w:rFonts w:ascii="Arial" w:hAnsi="Arial" w:cs="Arial"/>
        <w:i/>
        <w:color w:val="BFBFBF" w:themeColor="background1" w:themeShade="BF"/>
        <w:sz w:val="18"/>
        <w:szCs w:val="18"/>
      </w:rPr>
    </w:pPr>
  </w:p>
  <w:p w14:paraId="547DAD5E" w14:textId="77777777" w:rsidR="001217E8" w:rsidRDefault="001217E8" w:rsidP="001217E8">
    <w:pPr>
      <w:pStyle w:val="Pieddepage"/>
      <w:pBdr>
        <w:top w:val="single" w:sz="4" w:space="1" w:color="auto"/>
      </w:pBdr>
      <w:tabs>
        <w:tab w:val="left" w:leader="underscore" w:pos="9072"/>
      </w:tabs>
      <w:rPr>
        <w:rFonts w:ascii="Arial" w:hAnsi="Arial" w:cs="Arial"/>
        <w:i/>
        <w:color w:val="BFBFBF" w:themeColor="background1" w:themeShade="BF"/>
        <w:sz w:val="18"/>
        <w:szCs w:val="18"/>
      </w:rPr>
    </w:pPr>
    <w:r>
      <w:rPr>
        <w:rFonts w:ascii="Arial" w:hAnsi="Arial" w:cs="Arial"/>
        <w:i/>
        <w:color w:val="BFBFBF" w:themeColor="background1" w:themeShade="BF"/>
        <w:sz w:val="18"/>
        <w:szCs w:val="18"/>
      </w:rPr>
      <w:tab/>
    </w:r>
  </w:p>
  <w:p w14:paraId="7470DD4A" w14:textId="77777777" w:rsidR="001217E8" w:rsidRPr="001217E8" w:rsidRDefault="001217E8" w:rsidP="001217E8">
    <w:pPr>
      <w:pStyle w:val="Pieddepage"/>
      <w:jc w:val="right"/>
      <w:rPr>
        <w:rFonts w:ascii="Arial" w:hAnsi="Arial" w:cs="Arial"/>
        <w:i/>
        <w:color w:val="BFBFBF" w:themeColor="background1" w:themeShade="BF"/>
        <w:sz w:val="18"/>
        <w:szCs w:val="18"/>
      </w:rPr>
    </w:pPr>
    <w:r w:rsidRPr="001217E8">
      <w:rPr>
        <w:rFonts w:ascii="Arial" w:hAnsi="Arial" w:cs="Arial"/>
        <w:i/>
        <w:color w:val="BFBFBF" w:themeColor="background1" w:themeShade="BF"/>
        <w:sz w:val="18"/>
        <w:szCs w:val="18"/>
      </w:rPr>
      <w:t xml:space="preserve">Service </w:t>
    </w:r>
    <w:proofErr w:type="spellStart"/>
    <w:r w:rsidRPr="001217E8">
      <w:rPr>
        <w:rFonts w:ascii="Arial" w:hAnsi="Arial" w:cs="Arial"/>
        <w:i/>
        <w:color w:val="BFBFBF" w:themeColor="background1" w:themeShade="BF"/>
        <w:sz w:val="18"/>
        <w:szCs w:val="18"/>
      </w:rPr>
      <w:t>mutual</w:t>
    </w:r>
    <w:r w:rsidR="00951277">
      <w:rPr>
        <w:rFonts w:ascii="Arial" w:hAnsi="Arial" w:cs="Arial"/>
        <w:i/>
        <w:color w:val="BFBFBF" w:themeColor="background1" w:themeShade="BF"/>
        <w:sz w:val="18"/>
        <w:szCs w:val="18"/>
      </w:rPr>
      <w:t>isateur</w:t>
    </w:r>
    <w:proofErr w:type="spellEnd"/>
    <w:r w:rsidR="00951277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de paie du lycée </w:t>
    </w:r>
    <w:proofErr w:type="spellStart"/>
    <w:r w:rsidR="00951277">
      <w:rPr>
        <w:rFonts w:ascii="Arial" w:hAnsi="Arial" w:cs="Arial"/>
        <w:i/>
        <w:color w:val="BFBFBF" w:themeColor="background1" w:themeShade="BF"/>
        <w:sz w:val="18"/>
        <w:szCs w:val="18"/>
      </w:rPr>
      <w:t>Niépce</w:t>
    </w:r>
    <w:proofErr w:type="spellEnd"/>
    <w:r w:rsidR="00951277">
      <w:rPr>
        <w:rFonts w:ascii="Arial" w:hAnsi="Arial" w:cs="Arial"/>
        <w:i/>
        <w:color w:val="BFBFBF" w:themeColor="background1" w:themeShade="BF"/>
        <w:sz w:val="18"/>
        <w:szCs w:val="18"/>
      </w:rPr>
      <w:t>-</w:t>
    </w:r>
    <w:r w:rsidRPr="001217E8">
      <w:rPr>
        <w:rFonts w:ascii="Arial" w:hAnsi="Arial" w:cs="Arial"/>
        <w:i/>
        <w:color w:val="BFBFBF" w:themeColor="background1" w:themeShade="BF"/>
        <w:sz w:val="18"/>
        <w:szCs w:val="18"/>
      </w:rPr>
      <w:t>Balleure  – 71100 C</w:t>
    </w:r>
    <w:r w:rsidR="002F6605">
      <w:rPr>
        <w:rFonts w:ascii="Arial" w:hAnsi="Arial" w:cs="Arial"/>
        <w:i/>
        <w:color w:val="BFBFBF" w:themeColor="background1" w:themeShade="BF"/>
        <w:sz w:val="18"/>
        <w:szCs w:val="18"/>
      </w:rPr>
      <w:t>halon sur Saône</w:t>
    </w:r>
  </w:p>
  <w:p w14:paraId="29123CF7" w14:textId="405F86E4" w:rsidR="001217E8" w:rsidRPr="001217E8" w:rsidRDefault="001F0DA0" w:rsidP="001217E8">
    <w:pPr>
      <w:pStyle w:val="Pieddepage"/>
      <w:jc w:val="right"/>
      <w:rPr>
        <w:rFonts w:ascii="Arial" w:hAnsi="Arial" w:cs="Arial"/>
        <w:i/>
        <w:color w:val="BFBFBF" w:themeColor="background1" w:themeShade="BF"/>
        <w:sz w:val="18"/>
        <w:szCs w:val="18"/>
      </w:rPr>
    </w:pPr>
    <w:r>
      <w:rPr>
        <w:rFonts w:ascii="Arial" w:hAnsi="Arial" w:cs="Arial"/>
        <w:i/>
        <w:color w:val="BFBFBF" w:themeColor="background1" w:themeShade="BF"/>
        <w:sz w:val="18"/>
        <w:szCs w:val="18"/>
      </w:rPr>
      <w:t>MAJ</w:t>
    </w:r>
    <w:r w:rsidR="001217E8" w:rsidRPr="001217E8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</w:t>
    </w:r>
    <w:r w:rsidR="00C66878">
      <w:rPr>
        <w:rFonts w:ascii="Arial" w:hAnsi="Arial" w:cs="Arial"/>
        <w:i/>
        <w:color w:val="BFBFBF" w:themeColor="background1" w:themeShade="BF"/>
        <w:sz w:val="18"/>
        <w:szCs w:val="18"/>
      </w:rPr>
      <w:t>janvier 2023</w:t>
    </w:r>
    <w:r w:rsidR="000D1BAB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-  page</w:t>
    </w:r>
    <w:r w:rsidR="00A97C4B" w:rsidRPr="00A97C4B">
      <w:rPr>
        <w:rFonts w:ascii="Arial" w:hAnsi="Arial" w:cs="Arial"/>
        <w:i/>
        <w:color w:val="BFBFBF" w:themeColor="background1" w:themeShade="BF"/>
        <w:sz w:val="18"/>
        <w:szCs w:val="18"/>
      </w:rPr>
      <w:fldChar w:fldCharType="begin"/>
    </w:r>
    <w:r w:rsidR="00A97C4B" w:rsidRPr="00A97C4B">
      <w:rPr>
        <w:rFonts w:ascii="Arial" w:hAnsi="Arial" w:cs="Arial"/>
        <w:i/>
        <w:color w:val="BFBFBF" w:themeColor="background1" w:themeShade="BF"/>
        <w:sz w:val="18"/>
        <w:szCs w:val="18"/>
      </w:rPr>
      <w:instrText>PAGE   \* MERGEFORMAT</w:instrText>
    </w:r>
    <w:r w:rsidR="00A97C4B" w:rsidRPr="00A97C4B">
      <w:rPr>
        <w:rFonts w:ascii="Arial" w:hAnsi="Arial" w:cs="Arial"/>
        <w:i/>
        <w:color w:val="BFBFBF" w:themeColor="background1" w:themeShade="BF"/>
        <w:sz w:val="18"/>
        <w:szCs w:val="18"/>
      </w:rPr>
      <w:fldChar w:fldCharType="separate"/>
    </w:r>
    <w:r w:rsidR="00003F4A">
      <w:rPr>
        <w:rFonts w:ascii="Arial" w:hAnsi="Arial" w:cs="Arial"/>
        <w:i/>
        <w:noProof/>
        <w:color w:val="BFBFBF" w:themeColor="background1" w:themeShade="BF"/>
        <w:sz w:val="18"/>
        <w:szCs w:val="18"/>
      </w:rPr>
      <w:t>1</w:t>
    </w:r>
    <w:r w:rsidR="00A97C4B" w:rsidRPr="00A97C4B">
      <w:rPr>
        <w:rFonts w:ascii="Arial" w:hAnsi="Arial" w:cs="Arial"/>
        <w:i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2773" w14:textId="77777777" w:rsidR="0010766D" w:rsidRDefault="0010766D" w:rsidP="001217E8">
      <w:pPr>
        <w:spacing w:after="0" w:line="240" w:lineRule="auto"/>
      </w:pPr>
      <w:r>
        <w:separator/>
      </w:r>
    </w:p>
  </w:footnote>
  <w:footnote w:type="continuationSeparator" w:id="0">
    <w:p w14:paraId="066FE664" w14:textId="77777777" w:rsidR="0010766D" w:rsidRDefault="0010766D" w:rsidP="0012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2DF"/>
    <w:multiLevelType w:val="hybridMultilevel"/>
    <w:tmpl w:val="06622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D7E"/>
    <w:multiLevelType w:val="hybridMultilevel"/>
    <w:tmpl w:val="91BA1ED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655917"/>
    <w:multiLevelType w:val="hybridMultilevel"/>
    <w:tmpl w:val="3AFE80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57443"/>
    <w:multiLevelType w:val="hybridMultilevel"/>
    <w:tmpl w:val="E58CDCD4"/>
    <w:lvl w:ilvl="0" w:tplc="C2A48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58E7"/>
    <w:multiLevelType w:val="hybridMultilevel"/>
    <w:tmpl w:val="E01C1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1F19"/>
    <w:multiLevelType w:val="hybridMultilevel"/>
    <w:tmpl w:val="65F87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18C"/>
    <w:multiLevelType w:val="hybridMultilevel"/>
    <w:tmpl w:val="12F4888A"/>
    <w:lvl w:ilvl="0" w:tplc="C9E03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6080"/>
    <w:multiLevelType w:val="hybridMultilevel"/>
    <w:tmpl w:val="B65C5F80"/>
    <w:lvl w:ilvl="0" w:tplc="C9E03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6408D"/>
    <w:multiLevelType w:val="hybridMultilevel"/>
    <w:tmpl w:val="2A6E2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6583"/>
    <w:multiLevelType w:val="hybridMultilevel"/>
    <w:tmpl w:val="36E07E2A"/>
    <w:lvl w:ilvl="0" w:tplc="C2A48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2D8"/>
    <w:multiLevelType w:val="hybridMultilevel"/>
    <w:tmpl w:val="3208D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C31"/>
    <w:multiLevelType w:val="hybridMultilevel"/>
    <w:tmpl w:val="B67C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5F7A"/>
    <w:multiLevelType w:val="hybridMultilevel"/>
    <w:tmpl w:val="CC2421EE"/>
    <w:lvl w:ilvl="0" w:tplc="0F8A698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C"/>
    <w:rsid w:val="00003F4A"/>
    <w:rsid w:val="00027475"/>
    <w:rsid w:val="000D12A5"/>
    <w:rsid w:val="000D1BAB"/>
    <w:rsid w:val="0010766D"/>
    <w:rsid w:val="00107EA6"/>
    <w:rsid w:val="001217E8"/>
    <w:rsid w:val="00183110"/>
    <w:rsid w:val="001F0DA0"/>
    <w:rsid w:val="00230188"/>
    <w:rsid w:val="002E11B3"/>
    <w:rsid w:val="002F6605"/>
    <w:rsid w:val="003076A2"/>
    <w:rsid w:val="0033351E"/>
    <w:rsid w:val="003356C3"/>
    <w:rsid w:val="00380230"/>
    <w:rsid w:val="003B7AC9"/>
    <w:rsid w:val="003D484D"/>
    <w:rsid w:val="003F58D1"/>
    <w:rsid w:val="00430DE8"/>
    <w:rsid w:val="004333D1"/>
    <w:rsid w:val="00472C58"/>
    <w:rsid w:val="004A7BA8"/>
    <w:rsid w:val="004C2CE4"/>
    <w:rsid w:val="00594404"/>
    <w:rsid w:val="005D1578"/>
    <w:rsid w:val="005F0BCA"/>
    <w:rsid w:val="0065611C"/>
    <w:rsid w:val="00724C19"/>
    <w:rsid w:val="00727830"/>
    <w:rsid w:val="007C1F1A"/>
    <w:rsid w:val="007D21F9"/>
    <w:rsid w:val="008F1B38"/>
    <w:rsid w:val="008F4F64"/>
    <w:rsid w:val="00951277"/>
    <w:rsid w:val="00A17918"/>
    <w:rsid w:val="00A825A3"/>
    <w:rsid w:val="00A97C4B"/>
    <w:rsid w:val="00AF54F0"/>
    <w:rsid w:val="00B22152"/>
    <w:rsid w:val="00B4572E"/>
    <w:rsid w:val="00C13DC7"/>
    <w:rsid w:val="00C500FF"/>
    <w:rsid w:val="00C66878"/>
    <w:rsid w:val="00CB1A89"/>
    <w:rsid w:val="00CC6653"/>
    <w:rsid w:val="00E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9EA5045"/>
  <w15:chartTrackingRefBased/>
  <w15:docId w15:val="{1159638B-BA16-4685-8865-2093D41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A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7E8"/>
  </w:style>
  <w:style w:type="paragraph" w:styleId="Pieddepage">
    <w:name w:val="footer"/>
    <w:basedOn w:val="Normal"/>
    <w:link w:val="PieddepageCar"/>
    <w:uiPriority w:val="99"/>
    <w:unhideWhenUsed/>
    <w:rsid w:val="0012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7E8"/>
  </w:style>
  <w:style w:type="paragraph" w:styleId="Textedebulles">
    <w:name w:val="Balloon Text"/>
    <w:basedOn w:val="Normal"/>
    <w:link w:val="TextedebullesCar"/>
    <w:uiPriority w:val="99"/>
    <w:semiHidden/>
    <w:unhideWhenUsed/>
    <w:rsid w:val="00AF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VOLTZ</dc:creator>
  <cp:keywords/>
  <dc:description/>
  <cp:lastModifiedBy>Francois VOLTZ</cp:lastModifiedBy>
  <cp:revision>2</cp:revision>
  <cp:lastPrinted>2022-09-19T13:28:00Z</cp:lastPrinted>
  <dcterms:created xsi:type="dcterms:W3CDTF">2023-06-02T14:29:00Z</dcterms:created>
  <dcterms:modified xsi:type="dcterms:W3CDTF">2023-06-02T14:29:00Z</dcterms:modified>
</cp:coreProperties>
</file>